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402"/>
      </w:tblGrid>
      <w:tr w:rsidR="002F38EF" w14:paraId="3B691D35" w14:textId="77777777" w:rsidTr="009630D9">
        <w:trPr>
          <w:tblCellSpacing w:w="0" w:type="dxa"/>
        </w:trPr>
        <w:tc>
          <w:tcPr>
            <w:tcW w:w="5812" w:type="dxa"/>
          </w:tcPr>
          <w:p w14:paraId="2B7BBEF2" w14:textId="77777777" w:rsidR="002F38EF" w:rsidRPr="00584F2F" w:rsidRDefault="002F38EF" w:rsidP="002F38EF">
            <w:pPr>
              <w:spacing w:before="100" w:beforeAutospacing="1" w:after="240" w:line="252" w:lineRule="auto"/>
              <w:rPr>
                <w:rFonts w:ascii="Arial" w:hAnsi="Arial" w:cs="Arial"/>
                <w:b/>
                <w:bCs/>
                <w:color w:val="9B2A2E"/>
                <w:sz w:val="16"/>
                <w:szCs w:val="16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9B2A2E"/>
                <w:sz w:val="48"/>
                <w:szCs w:val="48"/>
                <w:lang w:val="en-GB"/>
              </w:rPr>
              <w:t>Hon Damien O’Connor</w:t>
            </w:r>
          </w:p>
          <w:p w14:paraId="0575EF0B" w14:textId="20312FFF" w:rsidR="002F38EF" w:rsidRDefault="000C759A" w:rsidP="00610868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34082A">
              <w:rPr>
                <w:rFonts w:ascii="Arial" w:hAnsi="Arial" w:cs="Arial"/>
                <w:b/>
                <w:bCs/>
                <w:color w:val="9B2A2E"/>
                <w:sz w:val="28"/>
                <w:szCs w:val="28"/>
                <w:lang w:val="en-GB" w:eastAsia="en-GB"/>
              </w:rPr>
              <w:t>Minister of Agriculture</w:t>
            </w:r>
            <w:r w:rsidR="009A26BC" w:rsidRPr="003B1292">
              <w:rPr>
                <w:rFonts w:ascii="Arial" w:hAnsi="Arial" w:cs="Arial"/>
                <w:b/>
                <w:bCs/>
                <w:color w:val="9B2A2E"/>
                <w:sz w:val="28"/>
                <w:szCs w:val="28"/>
                <w:highlight w:val="yellow"/>
                <w:lang w:val="en-GB" w:eastAsia="en-GB"/>
              </w:rPr>
              <w:br/>
            </w:r>
            <w:r>
              <w:rPr>
                <w:rFonts w:ascii="Arial" w:hAnsi="Arial" w:cs="Arial"/>
                <w:b/>
                <w:bCs/>
                <w:color w:val="9B2A2E"/>
                <w:sz w:val="28"/>
                <w:szCs w:val="28"/>
                <w:lang w:val="en-GB" w:eastAsia="en-GB"/>
              </w:rPr>
              <w:br/>
            </w:r>
          </w:p>
        </w:tc>
        <w:tc>
          <w:tcPr>
            <w:tcW w:w="3402" w:type="dxa"/>
            <w:hideMark/>
          </w:tcPr>
          <w:p w14:paraId="1860249B" w14:textId="77777777" w:rsidR="002F38EF" w:rsidRDefault="002F38EF" w:rsidP="002F38EF">
            <w:pPr>
              <w:spacing w:before="100" w:beforeAutospacing="1" w:after="100" w:afterAutospacing="1" w:line="252" w:lineRule="auto"/>
              <w:jc w:val="right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8"/>
                <w:szCs w:val="48"/>
                <w:lang w:eastAsia="en-NZ"/>
              </w:rPr>
              <w:drawing>
                <wp:inline distT="0" distB="0" distL="0" distR="0" wp14:anchorId="13898DC3" wp14:editId="1F102937">
                  <wp:extent cx="1041869" cy="9906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362C3.EE2D3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869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8EF" w:rsidRPr="00BF0E36" w14:paraId="505A8BFF" w14:textId="77777777" w:rsidTr="009630D9">
        <w:trPr>
          <w:trHeight w:val="783"/>
          <w:tblCellSpacing w:w="0" w:type="dxa"/>
        </w:trPr>
        <w:tc>
          <w:tcPr>
            <w:tcW w:w="5812" w:type="dxa"/>
            <w:hideMark/>
          </w:tcPr>
          <w:p w14:paraId="4A925E5C" w14:textId="77777777" w:rsidR="002F38EF" w:rsidRPr="00E74091" w:rsidRDefault="00E86BFE" w:rsidP="009504F7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4684B">
              <w:rPr>
                <w:rFonts w:ascii="Arial" w:hAnsi="Arial" w:cs="Arial"/>
                <w:sz w:val="24"/>
                <w:szCs w:val="24"/>
              </w:rPr>
              <w:t xml:space="preserve"> February</w:t>
            </w:r>
            <w:r w:rsidR="009504F7" w:rsidRPr="00E74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C68" w:rsidRPr="00E74091">
              <w:rPr>
                <w:rFonts w:ascii="Arial" w:hAnsi="Arial" w:cs="Arial"/>
                <w:sz w:val="24"/>
                <w:szCs w:val="24"/>
              </w:rPr>
              <w:t>20</w:t>
            </w:r>
            <w:r w:rsidR="003B1292" w:rsidRPr="00E74091">
              <w:rPr>
                <w:rFonts w:ascii="Arial" w:hAnsi="Arial" w:cs="Arial"/>
                <w:sz w:val="24"/>
                <w:szCs w:val="24"/>
              </w:rPr>
              <w:t>2</w:t>
            </w:r>
            <w:r w:rsidR="00E74091" w:rsidRPr="00E740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6C3ABCAC" w14:textId="77777777" w:rsidR="00A44435" w:rsidRDefault="00A44435" w:rsidP="00A444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PĀNUI PĀPĀHO</w:t>
            </w:r>
          </w:p>
          <w:p w14:paraId="2464F6BE" w14:textId="77777777" w:rsidR="002F38EF" w:rsidRPr="00E12061" w:rsidRDefault="002F38EF" w:rsidP="002F38EF">
            <w:pPr>
              <w:spacing w:after="280" w:line="252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12061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MEDIA STATEMENT </w:t>
            </w:r>
          </w:p>
        </w:tc>
      </w:tr>
      <w:tr w:rsidR="002F38EF" w14:paraId="7A114D58" w14:textId="77777777" w:rsidTr="009630D9">
        <w:trPr>
          <w:tblCellSpacing w:w="0" w:type="dxa"/>
        </w:trPr>
        <w:tc>
          <w:tcPr>
            <w:tcW w:w="9214" w:type="dxa"/>
            <w:gridSpan w:val="2"/>
          </w:tcPr>
          <w:p w14:paraId="3CB99F96" w14:textId="77777777" w:rsidR="00CA3CB3" w:rsidRPr="00014AC0" w:rsidRDefault="00CA3CB3" w:rsidP="00CA3CB3">
            <w:pPr>
              <w:rPr>
                <w:rFonts w:ascii="Arial" w:hAnsi="Arial" w:cs="Arial"/>
                <w:color w:val="262626" w:themeColor="text1" w:themeTint="D9"/>
              </w:rPr>
            </w:pPr>
          </w:p>
          <w:p w14:paraId="382C1130" w14:textId="77777777" w:rsidR="0034082A" w:rsidRPr="0034082A" w:rsidRDefault="0034082A" w:rsidP="003408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Hlk126752324"/>
            <w:r w:rsidRPr="0034082A">
              <w:rPr>
                <w:rFonts w:ascii="Arial" w:hAnsi="Arial" w:cs="Arial"/>
                <w:b/>
                <w:sz w:val="40"/>
                <w:szCs w:val="40"/>
              </w:rPr>
              <w:t xml:space="preserve">Carbon positive project to research impact of regenerative farming practices </w:t>
            </w:r>
          </w:p>
          <w:p w14:paraId="0D9C3429" w14:textId="77777777" w:rsidR="0034082A" w:rsidRDefault="0034082A" w:rsidP="0034082A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14:paraId="3C89B494" w14:textId="77777777" w:rsidR="00CE66A1" w:rsidRPr="00144112" w:rsidRDefault="00CE66A1" w:rsidP="00CE66A1">
            <w:pPr>
              <w:rPr>
                <w:rFonts w:ascii="Arial" w:hAnsi="Arial" w:cs="Arial"/>
                <w:sz w:val="24"/>
                <w:szCs w:val="24"/>
              </w:rPr>
            </w:pPr>
            <w:r w:rsidRPr="00144112">
              <w:rPr>
                <w:rFonts w:ascii="Arial" w:hAnsi="Arial" w:cs="Arial"/>
                <w:sz w:val="24"/>
                <w:szCs w:val="24"/>
              </w:rPr>
              <w:t xml:space="preserve">The Government is backing new research </w:t>
            </w:r>
            <w:r w:rsidR="003C3FEF" w:rsidRPr="00144112">
              <w:rPr>
                <w:rFonts w:ascii="Arial" w:hAnsi="Arial" w:cs="Arial"/>
                <w:sz w:val="24"/>
                <w:szCs w:val="24"/>
              </w:rPr>
              <w:t xml:space="preserve">on the potential of </w:t>
            </w:r>
            <w:r w:rsidRPr="00144112">
              <w:rPr>
                <w:rFonts w:ascii="Arial" w:hAnsi="Arial" w:cs="Arial"/>
                <w:sz w:val="24"/>
                <w:szCs w:val="24"/>
              </w:rPr>
              <w:t>regenerative farming practices</w:t>
            </w:r>
            <w:r w:rsidR="0000710E" w:rsidRPr="00144112">
              <w:rPr>
                <w:rFonts w:ascii="Arial" w:hAnsi="Arial" w:cs="Arial"/>
                <w:sz w:val="24"/>
                <w:szCs w:val="24"/>
              </w:rPr>
              <w:t xml:space="preserve"> to boost soil carbon in arable, vegetable and other crop growing systems</w:t>
            </w:r>
            <w:r w:rsidRPr="00144112">
              <w:rPr>
                <w:rFonts w:ascii="Arial" w:hAnsi="Arial" w:cs="Arial"/>
                <w:sz w:val="24"/>
                <w:szCs w:val="24"/>
              </w:rPr>
              <w:t>, Agriculture Minister Damien O’Connor announced.</w:t>
            </w:r>
          </w:p>
          <w:bookmarkEnd w:id="0"/>
          <w:p w14:paraId="09E167A3" w14:textId="77777777" w:rsidR="00CE66A1" w:rsidRPr="00144112" w:rsidRDefault="00CE66A1" w:rsidP="00CE6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191D6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sz w:val="24"/>
                <w:szCs w:val="24"/>
              </w:rPr>
              <w:t xml:space="preserve">“We’re committing more than $2 million over six years </w:t>
            </w:r>
            <w:r w:rsidR="0004684B" w:rsidRPr="00144112">
              <w:rPr>
                <w:rFonts w:ascii="Arial" w:hAnsi="Arial" w:cs="Arial"/>
                <w:sz w:val="24"/>
                <w:szCs w:val="24"/>
              </w:rPr>
              <w:t>in Hawke</w:t>
            </w:r>
            <w:r w:rsidR="0095433A" w:rsidRPr="00144112">
              <w:rPr>
                <w:rFonts w:ascii="Arial" w:hAnsi="Arial" w:cs="Arial"/>
                <w:sz w:val="24"/>
                <w:szCs w:val="24"/>
              </w:rPr>
              <w:t>’</w:t>
            </w:r>
            <w:r w:rsidR="0004684B" w:rsidRPr="00144112">
              <w:rPr>
                <w:rFonts w:ascii="Arial" w:hAnsi="Arial" w:cs="Arial"/>
                <w:sz w:val="24"/>
                <w:szCs w:val="24"/>
              </w:rPr>
              <w:t xml:space="preserve">s Bay </w:t>
            </w:r>
            <w:r w:rsidRPr="00144112">
              <w:rPr>
                <w:rFonts w:ascii="Arial" w:hAnsi="Arial" w:cs="Arial"/>
                <w:sz w:val="24"/>
                <w:szCs w:val="24"/>
              </w:rPr>
              <w:t xml:space="preserve">to help build up an evidence base </w:t>
            </w: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 xml:space="preserve">on the application and effectiveness of regenerative farming in a typical intensive field cropping and arable system,” Damien O’Connor said. </w:t>
            </w:r>
          </w:p>
          <w:p w14:paraId="7F548C5D" w14:textId="77777777" w:rsidR="00CE66A1" w:rsidRPr="00144112" w:rsidRDefault="00CE66A1" w:rsidP="00CE66A1">
            <w:pPr>
              <w:tabs>
                <w:tab w:val="left" w:pos="138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99D2E1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>“This will be the first project in our regenerative agriculture portfolio to include the arable sector and brings together key stakeholders across the value-chain.</w:t>
            </w:r>
          </w:p>
          <w:p w14:paraId="4D3BEEC2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436D55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 xml:space="preserve">“The project, led by </w:t>
            </w:r>
            <w:r w:rsidRPr="00144112">
              <w:rPr>
                <w:rFonts w:ascii="Arial" w:hAnsi="Arial" w:cs="Arial"/>
                <w:sz w:val="24"/>
                <w:szCs w:val="24"/>
              </w:rPr>
              <w:t xml:space="preserve">Hawke’s Bay Future Farming Charitable Trust with science and operations partner </w:t>
            </w:r>
            <w:proofErr w:type="spellStart"/>
            <w:r w:rsidRPr="00144112">
              <w:rPr>
                <w:rFonts w:ascii="Arial" w:hAnsi="Arial" w:cs="Arial"/>
                <w:sz w:val="24"/>
                <w:szCs w:val="24"/>
              </w:rPr>
              <w:t>LandWISE</w:t>
            </w:r>
            <w:proofErr w:type="spellEnd"/>
            <w:r w:rsidRPr="00144112">
              <w:rPr>
                <w:rFonts w:ascii="Arial" w:hAnsi="Arial" w:cs="Arial"/>
                <w:sz w:val="24"/>
                <w:szCs w:val="24"/>
              </w:rPr>
              <w:t>,</w:t>
            </w: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 xml:space="preserve"> will </w:t>
            </w:r>
            <w:r w:rsidRPr="00144112">
              <w:rPr>
                <w:rFonts w:ascii="Arial" w:hAnsi="Arial" w:cs="Arial"/>
                <w:sz w:val="24"/>
                <w:szCs w:val="24"/>
              </w:rPr>
              <w:t xml:space="preserve">be run on </w:t>
            </w:r>
            <w:proofErr w:type="spellStart"/>
            <w:r w:rsidRPr="00144112">
              <w:rPr>
                <w:rFonts w:ascii="Arial" w:hAnsi="Arial" w:cs="Arial"/>
                <w:sz w:val="24"/>
                <w:szCs w:val="24"/>
              </w:rPr>
              <w:t>LandWISE’s</w:t>
            </w:r>
            <w:proofErr w:type="spellEnd"/>
            <w:r w:rsidRPr="00144112">
              <w:rPr>
                <w:rFonts w:ascii="Arial" w:hAnsi="Arial" w:cs="Arial"/>
                <w:sz w:val="24"/>
                <w:szCs w:val="24"/>
              </w:rPr>
              <w:t xml:space="preserve"> demonstration farm in the Heretaunga Plains</w:t>
            </w: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>, with a focus on degraded soils.</w:t>
            </w:r>
          </w:p>
          <w:p w14:paraId="28C61C17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3305966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>“It complements the research already underway on the effectiveness of regenerative farming practices in our pastoral farming systems.”</w:t>
            </w:r>
          </w:p>
          <w:p w14:paraId="00E27CFE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E1D513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 xml:space="preserve">‘Carbon Positive – Regenerating soil carbon’ project </w:t>
            </w:r>
            <w:r w:rsidRPr="00144112">
              <w:rPr>
                <w:rFonts w:ascii="Arial" w:hAnsi="Arial" w:cs="Arial"/>
                <w:sz w:val="24"/>
                <w:szCs w:val="24"/>
              </w:rPr>
              <w:t xml:space="preserve">is co-funded by the </w:t>
            </w: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 xml:space="preserve">Ministry for Primary Industries’ (MPI’s) </w:t>
            </w:r>
            <w:r w:rsidRPr="00144112">
              <w:rPr>
                <w:rFonts w:ascii="Arial" w:hAnsi="Arial" w:cs="Arial"/>
                <w:sz w:val="24"/>
                <w:szCs w:val="24"/>
              </w:rPr>
              <w:t>Sustainable Food and Fibre Futures fund (SFF Futures)</w:t>
            </w: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71B7E13D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48D45D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 xml:space="preserve">The project is supported by a collaboration of regional and national organisations including Kraft Heinz </w:t>
            </w:r>
            <w:proofErr w:type="spellStart"/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>Watties</w:t>
            </w:r>
            <w:proofErr w:type="spellEnd"/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 xml:space="preserve"> NZ, McCain Foods NZ, Hawke’s Bay Vegetable Growers, Hawke’s Bay Regional Council, and BASF</w:t>
            </w:r>
            <w:r w:rsidRPr="00144112" w:rsidDel="007B6992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2307C4EF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1AD3CC" w14:textId="77777777" w:rsidR="00CE66A1" w:rsidRPr="00C202B0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 xml:space="preserve">“Worldwide we’re seeing increased demand for food grown sustainably with a reduced environmental footprint. </w:t>
            </w:r>
            <w:r w:rsidR="0080612E">
              <w:rPr>
                <w:rFonts w:ascii="Arial" w:hAnsi="Arial" w:cs="Arial"/>
                <w:color w:val="000000"/>
                <w:sz w:val="24"/>
                <w:szCs w:val="24"/>
              </w:rPr>
              <w:t xml:space="preserve">There are </w:t>
            </w:r>
            <w:r w:rsidRPr="00DA51F7">
              <w:rPr>
                <w:rFonts w:ascii="Arial" w:hAnsi="Arial" w:cs="Arial"/>
                <w:color w:val="000000"/>
                <w:sz w:val="24"/>
                <w:szCs w:val="24"/>
              </w:rPr>
              <w:t>exciting opportunities for New Zealand to tap into this market</w:t>
            </w:r>
            <w:r w:rsidR="0080612E">
              <w:rPr>
                <w:rFonts w:ascii="Arial" w:hAnsi="Arial" w:cs="Arial"/>
                <w:color w:val="000000"/>
                <w:sz w:val="24"/>
                <w:szCs w:val="24"/>
              </w:rPr>
              <w:t>, which is why we’re co-investing with industry</w:t>
            </w:r>
            <w:r w:rsidRPr="00DA51F7">
              <w:rPr>
                <w:rFonts w:ascii="Arial" w:hAnsi="Arial" w:cs="Arial"/>
                <w:color w:val="000000"/>
                <w:sz w:val="24"/>
                <w:szCs w:val="24"/>
              </w:rPr>
              <w:t>,” Damien O’Connor said.</w:t>
            </w:r>
          </w:p>
          <w:p w14:paraId="2C3C242F" w14:textId="77777777" w:rsidR="00CE66A1" w:rsidRPr="0080612E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44E848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612E">
              <w:rPr>
                <w:rFonts w:ascii="Arial" w:hAnsi="Arial" w:cs="Arial"/>
                <w:color w:val="000000"/>
                <w:sz w:val="24"/>
                <w:szCs w:val="24"/>
              </w:rPr>
              <w:t xml:space="preserve">“Working with two global food giants, Kraft Heinz </w:t>
            </w:r>
            <w:proofErr w:type="spellStart"/>
            <w:r w:rsidRPr="0080612E">
              <w:rPr>
                <w:rFonts w:ascii="Arial" w:hAnsi="Arial" w:cs="Arial"/>
                <w:color w:val="000000"/>
                <w:sz w:val="24"/>
                <w:szCs w:val="24"/>
              </w:rPr>
              <w:t>Watties</w:t>
            </w:r>
            <w:proofErr w:type="spellEnd"/>
            <w:r w:rsidRPr="0080612E">
              <w:rPr>
                <w:rFonts w:ascii="Arial" w:hAnsi="Arial" w:cs="Arial"/>
                <w:color w:val="000000"/>
                <w:sz w:val="24"/>
                <w:szCs w:val="24"/>
              </w:rPr>
              <w:t xml:space="preserve"> NZ and McCain Foods NZ, will also help us better understand how New Zealand can supply products to meet future consumer trends.”</w:t>
            </w:r>
          </w:p>
          <w:p w14:paraId="608FD763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46EAE0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Damien O’Connor said the demonstration farm will be split and managed with three different systems</w:t>
            </w:r>
            <w:r w:rsidR="00144112" w:rsidRPr="0014411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validate any benefits</w:t>
            </w: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00AD5B29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58EE7D3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>“The researchers will set up a conventional system using current industry best practice and recognised crop rotations,” Damien O’Connor said.</w:t>
            </w:r>
          </w:p>
          <w:p w14:paraId="26603869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460E04F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 xml:space="preserve">“They will also set up a fully regenerative system involving cover crops and minimal use of herbicides and insecticides, and a hybrid system that incorporates a mixture of techniques to help demonstrate a transitional pathway for farmers. </w:t>
            </w:r>
          </w:p>
          <w:p w14:paraId="238A15D3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373F6A7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>“The project team will do extensive monitoring to measure and evaluate the impact on productivity and profitability, to help them develop best practice.”</w:t>
            </w:r>
          </w:p>
          <w:p w14:paraId="12CA2496" w14:textId="77777777" w:rsidR="00CE66A1" w:rsidRPr="00144112" w:rsidRDefault="00CE66A1" w:rsidP="00CE6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87CC7" w14:textId="77777777" w:rsidR="003C3FEF" w:rsidRPr="00144112" w:rsidRDefault="003C3FEF" w:rsidP="00CE6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79E0E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sz w:val="24"/>
                <w:szCs w:val="24"/>
              </w:rPr>
              <w:t>“Potential outcomes from the regenerative farming approach could include i</w:t>
            </w: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>mproved water quality and use; reduced nutrient losses and use; healthier soils; and resilience to climate change.</w:t>
            </w:r>
          </w:p>
          <w:p w14:paraId="22776F08" w14:textId="77777777" w:rsidR="00CE66A1" w:rsidRPr="00144112" w:rsidRDefault="00CE66A1" w:rsidP="00CE6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B479E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 xml:space="preserve">“The </w:t>
            </w:r>
            <w:r w:rsidRPr="0014411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Fit for a Better World </w:t>
            </w: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>Government and sector roadmap identified regenerative agriculture as a potential high-value and sustainable point of difference for New Zealand,” Damien O’Connor said.</w:t>
            </w:r>
          </w:p>
          <w:p w14:paraId="0F275DB4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428C0B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>“Through SFF Futures, the Government is backing a portfolio of 12 research projects to date with a combined investment of just over $57.7 million. These projects have their sights on delivering an evidence base on the effectiveness of regenerative farming practices that suit New Zealand’s soils, climate, and production systems.</w:t>
            </w:r>
          </w:p>
          <w:p w14:paraId="3803710A" w14:textId="77777777" w:rsidR="00CE66A1" w:rsidRPr="00144112" w:rsidRDefault="00CE66A1" w:rsidP="00CE66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948B418" w14:textId="1AE10D8E" w:rsidR="00CE66A1" w:rsidRPr="00144112" w:rsidRDefault="00CE66A1" w:rsidP="001441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>“</w:t>
            </w:r>
            <w:r w:rsidR="00144112" w:rsidRPr="00144112">
              <w:rPr>
                <w:rFonts w:ascii="Arial" w:hAnsi="Arial" w:cs="Arial"/>
                <w:color w:val="000000"/>
                <w:sz w:val="24"/>
                <w:szCs w:val="24"/>
              </w:rPr>
              <w:t>Lifting our sustainability credentials is crucial to growing the value of our food and fibre exports and providing future economic security for all New Zealanders,</w:t>
            </w:r>
            <w:r w:rsidRPr="00144112"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r w:rsidR="00144112" w:rsidRPr="00144112">
              <w:rPr>
                <w:rFonts w:ascii="Arial" w:hAnsi="Arial" w:cs="Arial"/>
                <w:color w:val="000000"/>
                <w:sz w:val="24"/>
                <w:szCs w:val="24"/>
              </w:rPr>
              <w:t xml:space="preserve"> Damien O’Connor said.</w:t>
            </w:r>
          </w:p>
          <w:p w14:paraId="0531D7FC" w14:textId="77777777" w:rsidR="00477A80" w:rsidRDefault="00477A80" w:rsidP="00477A80">
            <w:pPr>
              <w:rPr>
                <w:rFonts w:ascii="Arial" w:hAnsi="Arial" w:cs="Arial"/>
                <w:color w:val="262626" w:themeColor="text1" w:themeTint="D9"/>
              </w:rPr>
            </w:pPr>
          </w:p>
          <w:p w14:paraId="2A4D183F" w14:textId="77777777" w:rsidR="00F663DC" w:rsidRDefault="00F663DC" w:rsidP="00477A80">
            <w:pPr>
              <w:rPr>
                <w:rFonts w:ascii="Arial" w:hAnsi="Arial" w:cs="Arial"/>
                <w:color w:val="262626" w:themeColor="text1" w:themeTint="D9"/>
              </w:rPr>
            </w:pPr>
          </w:p>
          <w:p w14:paraId="6AA7FE74" w14:textId="77777777" w:rsidR="004B0BDB" w:rsidRPr="009504F7" w:rsidRDefault="000936B5" w:rsidP="00477A80">
            <w:pP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9504F7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ENDS</w:t>
            </w:r>
          </w:p>
          <w:p w14:paraId="49D9929D" w14:textId="77777777" w:rsidR="004B0BDB" w:rsidRPr="009504F7" w:rsidRDefault="004B0BDB" w:rsidP="00477A80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14:paraId="3ADA6F25" w14:textId="77777777" w:rsidR="00477A80" w:rsidRPr="009504F7" w:rsidRDefault="004B0BDB" w:rsidP="00477A8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4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Media c</w:t>
            </w:r>
            <w:r w:rsidR="00477A80" w:rsidRPr="009504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ontact: </w:t>
            </w:r>
            <w:r w:rsidR="000936B5" w:rsidRPr="009504F7">
              <w:rPr>
                <w:rFonts w:ascii="Arial" w:eastAsia="Times New Roman" w:hAnsi="Arial" w:cs="Arial"/>
                <w:bCs/>
                <w:sz w:val="24"/>
                <w:szCs w:val="24"/>
              </w:rPr>
              <w:t>Sean O’Brien 022-367-7326</w:t>
            </w:r>
            <w:r w:rsidRPr="009504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8E6BDAC" w14:textId="77777777" w:rsidR="00477A80" w:rsidRPr="00CE7A16" w:rsidRDefault="00477A80" w:rsidP="00CE7A16">
            <w:pPr>
              <w:rPr>
                <w:rFonts w:ascii="Arial" w:eastAsia="Calibri" w:hAnsi="Arial" w:cs="Arial"/>
                <w:color w:val="262626" w:themeColor="text1" w:themeTint="D9"/>
              </w:rPr>
            </w:pPr>
          </w:p>
          <w:p w14:paraId="77076A83" w14:textId="77777777" w:rsidR="00CE7A16" w:rsidRPr="00CE7A16" w:rsidRDefault="00CE7A16" w:rsidP="00CE7A16">
            <w:pPr>
              <w:rPr>
                <w:rFonts w:ascii="Arial" w:eastAsia="Calibri" w:hAnsi="Arial" w:cs="Arial"/>
                <w:color w:val="262626" w:themeColor="text1" w:themeTint="D9"/>
              </w:rPr>
            </w:pPr>
          </w:p>
          <w:p w14:paraId="728E2D88" w14:textId="77777777" w:rsidR="002F38EF" w:rsidRPr="000D12BB" w:rsidRDefault="002F38EF" w:rsidP="002F38EF">
            <w:pPr>
              <w:rPr>
                <w:rFonts w:ascii="Arial" w:eastAsia="Calibri" w:hAnsi="Arial" w:cs="Arial"/>
                <w:color w:val="262626" w:themeColor="text1" w:themeTint="D9"/>
              </w:rPr>
            </w:pPr>
          </w:p>
          <w:p w14:paraId="5375A3AE" w14:textId="77777777" w:rsidR="00353C17" w:rsidRDefault="00477A80" w:rsidP="00477A80">
            <w:pPr>
              <w:rPr>
                <w:rFonts w:ascii="Arial" w:eastAsia="Times New Roman" w:hAnsi="Arial" w:cs="Arial"/>
                <w:b/>
                <w:bCs/>
              </w:rPr>
            </w:pPr>
            <w:bookmarkStart w:id="1" w:name="_MailEndCompose"/>
            <w:bookmarkEnd w:id="1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63152BFE" w14:textId="77777777" w:rsidR="00353C17" w:rsidRDefault="00353C17" w:rsidP="002F38EF">
            <w:pPr>
              <w:rPr>
                <w:rFonts w:eastAsia="Times New Roman" w:cs="Helvetica"/>
              </w:rPr>
            </w:pPr>
          </w:p>
          <w:p w14:paraId="3E458AB0" w14:textId="77777777" w:rsidR="002F38EF" w:rsidRDefault="002F38EF" w:rsidP="002F38EF">
            <w:pPr>
              <w:spacing w:line="252" w:lineRule="auto"/>
            </w:pPr>
          </w:p>
          <w:p w14:paraId="0CE64C7F" w14:textId="77777777" w:rsidR="002F38EF" w:rsidRDefault="002F38EF" w:rsidP="002F38EF">
            <w:pPr>
              <w:spacing w:line="252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04D1256E" w14:textId="77777777" w:rsidR="00406296" w:rsidRPr="0095433A" w:rsidRDefault="00406296" w:rsidP="00406296">
      <w:pPr>
        <w:rPr>
          <w:sz w:val="28"/>
          <w:szCs w:val="28"/>
        </w:rPr>
      </w:pPr>
    </w:p>
    <w:p w14:paraId="66959532" w14:textId="77777777" w:rsidR="00A807B5" w:rsidRDefault="00000000"/>
    <w:sectPr w:rsidR="00A807B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969F" w14:textId="77777777" w:rsidR="001330EA" w:rsidRDefault="001330EA" w:rsidP="00CA3CB3">
      <w:r>
        <w:separator/>
      </w:r>
    </w:p>
  </w:endnote>
  <w:endnote w:type="continuationSeparator" w:id="0">
    <w:p w14:paraId="12B901EC" w14:textId="77777777" w:rsidR="001330EA" w:rsidRDefault="001330EA" w:rsidP="00CA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D8E3" w14:textId="77777777" w:rsidR="001330EA" w:rsidRDefault="001330EA" w:rsidP="00CA3CB3">
      <w:r>
        <w:separator/>
      </w:r>
    </w:p>
  </w:footnote>
  <w:footnote w:type="continuationSeparator" w:id="0">
    <w:p w14:paraId="246868F2" w14:textId="77777777" w:rsidR="001330EA" w:rsidRDefault="001330EA" w:rsidP="00CA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418901"/>
      <w:docPartObj>
        <w:docPartGallery w:val="Watermarks"/>
        <w:docPartUnique/>
      </w:docPartObj>
    </w:sdtPr>
    <w:sdtContent>
      <w:p w14:paraId="3302192F" w14:textId="77777777" w:rsidR="00945A38" w:rsidRDefault="001330EA">
        <w:r>
          <w:rPr>
            <w:noProof/>
            <w:lang w:val="en-US"/>
          </w:rPr>
          <w:pict w14:anchorId="1477F6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A6"/>
    <w:rsid w:val="0000710E"/>
    <w:rsid w:val="00014AC0"/>
    <w:rsid w:val="0001798C"/>
    <w:rsid w:val="0004684B"/>
    <w:rsid w:val="000572CF"/>
    <w:rsid w:val="00065D89"/>
    <w:rsid w:val="000936B5"/>
    <w:rsid w:val="000A08F8"/>
    <w:rsid w:val="000B192D"/>
    <w:rsid w:val="000B3390"/>
    <w:rsid w:val="000C1094"/>
    <w:rsid w:val="000C759A"/>
    <w:rsid w:val="001017EC"/>
    <w:rsid w:val="001330EA"/>
    <w:rsid w:val="001358C6"/>
    <w:rsid w:val="00144112"/>
    <w:rsid w:val="00165A6D"/>
    <w:rsid w:val="001709E9"/>
    <w:rsid w:val="001C5D61"/>
    <w:rsid w:val="001C69CF"/>
    <w:rsid w:val="001D213C"/>
    <w:rsid w:val="001E65DD"/>
    <w:rsid w:val="001F64D8"/>
    <w:rsid w:val="00212340"/>
    <w:rsid w:val="00225AAA"/>
    <w:rsid w:val="00242B3C"/>
    <w:rsid w:val="002574E0"/>
    <w:rsid w:val="0027020D"/>
    <w:rsid w:val="0027112A"/>
    <w:rsid w:val="002931B6"/>
    <w:rsid w:val="002F38EF"/>
    <w:rsid w:val="003173FB"/>
    <w:rsid w:val="0034082A"/>
    <w:rsid w:val="00353C17"/>
    <w:rsid w:val="00396215"/>
    <w:rsid w:val="003A4989"/>
    <w:rsid w:val="003B1292"/>
    <w:rsid w:val="003B4B46"/>
    <w:rsid w:val="003C3FEF"/>
    <w:rsid w:val="003D7A80"/>
    <w:rsid w:val="003E2637"/>
    <w:rsid w:val="003E2AB4"/>
    <w:rsid w:val="003E5788"/>
    <w:rsid w:val="003F5EBA"/>
    <w:rsid w:val="00406296"/>
    <w:rsid w:val="0041475E"/>
    <w:rsid w:val="00436010"/>
    <w:rsid w:val="00477A80"/>
    <w:rsid w:val="00495A4C"/>
    <w:rsid w:val="004B0BDB"/>
    <w:rsid w:val="004E324A"/>
    <w:rsid w:val="004F0080"/>
    <w:rsid w:val="00503610"/>
    <w:rsid w:val="00533DCE"/>
    <w:rsid w:val="00582DD9"/>
    <w:rsid w:val="00584F2F"/>
    <w:rsid w:val="005B2059"/>
    <w:rsid w:val="005B2B50"/>
    <w:rsid w:val="005C1D2D"/>
    <w:rsid w:val="005D0F98"/>
    <w:rsid w:val="005E4192"/>
    <w:rsid w:val="005E6868"/>
    <w:rsid w:val="005F6A5C"/>
    <w:rsid w:val="006061C0"/>
    <w:rsid w:val="00606346"/>
    <w:rsid w:val="00610868"/>
    <w:rsid w:val="0067657A"/>
    <w:rsid w:val="00693496"/>
    <w:rsid w:val="00696834"/>
    <w:rsid w:val="006A63A6"/>
    <w:rsid w:val="006C1426"/>
    <w:rsid w:val="006C5C39"/>
    <w:rsid w:val="006E1826"/>
    <w:rsid w:val="006E6AAA"/>
    <w:rsid w:val="006F350F"/>
    <w:rsid w:val="0074042F"/>
    <w:rsid w:val="00777125"/>
    <w:rsid w:val="00781FB1"/>
    <w:rsid w:val="00784493"/>
    <w:rsid w:val="00790B08"/>
    <w:rsid w:val="007D2B26"/>
    <w:rsid w:val="007D6047"/>
    <w:rsid w:val="007F2B92"/>
    <w:rsid w:val="0080612E"/>
    <w:rsid w:val="00816398"/>
    <w:rsid w:val="00857093"/>
    <w:rsid w:val="008613D3"/>
    <w:rsid w:val="00884692"/>
    <w:rsid w:val="008B2306"/>
    <w:rsid w:val="008C4564"/>
    <w:rsid w:val="008E0869"/>
    <w:rsid w:val="00910BC8"/>
    <w:rsid w:val="00926A0D"/>
    <w:rsid w:val="009414CD"/>
    <w:rsid w:val="00945A38"/>
    <w:rsid w:val="009504F7"/>
    <w:rsid w:val="00953859"/>
    <w:rsid w:val="0095433A"/>
    <w:rsid w:val="0096187F"/>
    <w:rsid w:val="009630D9"/>
    <w:rsid w:val="00970407"/>
    <w:rsid w:val="00977455"/>
    <w:rsid w:val="009818D1"/>
    <w:rsid w:val="0098326F"/>
    <w:rsid w:val="00995C68"/>
    <w:rsid w:val="00996821"/>
    <w:rsid w:val="009A26BC"/>
    <w:rsid w:val="009A4272"/>
    <w:rsid w:val="009B4C08"/>
    <w:rsid w:val="009D7B4A"/>
    <w:rsid w:val="00A26876"/>
    <w:rsid w:val="00A3037E"/>
    <w:rsid w:val="00A44435"/>
    <w:rsid w:val="00A8452C"/>
    <w:rsid w:val="00A91CDF"/>
    <w:rsid w:val="00AC2427"/>
    <w:rsid w:val="00B16DE1"/>
    <w:rsid w:val="00B457A3"/>
    <w:rsid w:val="00B63F15"/>
    <w:rsid w:val="00B7033A"/>
    <w:rsid w:val="00B7202C"/>
    <w:rsid w:val="00B8697C"/>
    <w:rsid w:val="00BC6309"/>
    <w:rsid w:val="00BD6D36"/>
    <w:rsid w:val="00BD7925"/>
    <w:rsid w:val="00BE309D"/>
    <w:rsid w:val="00BF0E36"/>
    <w:rsid w:val="00BF7EB2"/>
    <w:rsid w:val="00C06C0B"/>
    <w:rsid w:val="00C16EE2"/>
    <w:rsid w:val="00C202B0"/>
    <w:rsid w:val="00C47ECB"/>
    <w:rsid w:val="00C8707E"/>
    <w:rsid w:val="00CA3CB3"/>
    <w:rsid w:val="00CC14E3"/>
    <w:rsid w:val="00CE66A1"/>
    <w:rsid w:val="00CE7A16"/>
    <w:rsid w:val="00D368AC"/>
    <w:rsid w:val="00D45987"/>
    <w:rsid w:val="00D95CA4"/>
    <w:rsid w:val="00DA51F7"/>
    <w:rsid w:val="00DD3A7B"/>
    <w:rsid w:val="00DE7CA8"/>
    <w:rsid w:val="00DE7FFA"/>
    <w:rsid w:val="00DF630F"/>
    <w:rsid w:val="00E1169F"/>
    <w:rsid w:val="00E12061"/>
    <w:rsid w:val="00E26E8F"/>
    <w:rsid w:val="00E36CDD"/>
    <w:rsid w:val="00E6063C"/>
    <w:rsid w:val="00E74091"/>
    <w:rsid w:val="00E86BFE"/>
    <w:rsid w:val="00E87741"/>
    <w:rsid w:val="00E90FDE"/>
    <w:rsid w:val="00E95788"/>
    <w:rsid w:val="00EB24B3"/>
    <w:rsid w:val="00EC5372"/>
    <w:rsid w:val="00ED7CC7"/>
    <w:rsid w:val="00F663DC"/>
    <w:rsid w:val="00F71923"/>
    <w:rsid w:val="00F838C8"/>
    <w:rsid w:val="00FD40EB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24A57"/>
  <w15:chartTrackingRefBased/>
  <w15:docId w15:val="{B6F29F1E-8703-47C3-BDF8-65424116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3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C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4A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CB3"/>
    <w:pPr>
      <w:tabs>
        <w:tab w:val="left" w:pos="567"/>
      </w:tabs>
    </w:pPr>
    <w:rPr>
      <w:rFonts w:ascii="Verdana" w:eastAsia="Times New Roman" w:hAnsi="Verdan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CB3"/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CB3"/>
    <w:rPr>
      <w:vertAlign w:val="superscript"/>
    </w:rPr>
  </w:style>
  <w:style w:type="paragraph" w:styleId="Revision">
    <w:name w:val="Revision"/>
    <w:hidden/>
    <w:uiPriority w:val="99"/>
    <w:semiHidden/>
    <w:rsid w:val="00DD3A7B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C3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FE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FE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346</Words>
  <Characters>3261</Characters>
  <Application>Microsoft Office Word</Application>
  <DocSecurity>0</DocSecurity>
  <Lines>85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Parliamentary Service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Blackler</dc:creator>
  <cp:keywords/>
  <dc:description/>
  <cp:lastModifiedBy>Tom Belford</cp:lastModifiedBy>
  <cp:revision>4</cp:revision>
  <cp:lastPrinted>2023-02-08T03:42:00Z</cp:lastPrinted>
  <dcterms:created xsi:type="dcterms:W3CDTF">2023-02-08T02:16:00Z</dcterms:created>
  <dcterms:modified xsi:type="dcterms:W3CDTF">2023-02-09T00:57:00Z</dcterms:modified>
</cp:coreProperties>
</file>